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AC" w:rsidRDefault="000275AC" w:rsidP="000275AC">
      <w:pPr>
        <w:jc w:val="both"/>
      </w:pPr>
      <w:r>
        <w:t>Регистрация выпуска (дополнительного выпуска) ценных бумаг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1. Общие сведения</w:t>
      </w:r>
    </w:p>
    <w:p w:rsidR="000275AC" w:rsidRDefault="000275AC" w:rsidP="000275AC">
      <w:pPr>
        <w:jc w:val="both"/>
      </w:pPr>
      <w:r>
        <w:t>1.1. Полное фирменное наименование (для коммерческой организации) или наименование (для некоммерческой организации) эмитента: Акционерное общество «Научно-производственная фирма «</w:t>
      </w:r>
      <w:proofErr w:type="spellStart"/>
      <w:r>
        <w:t>Микран</w:t>
      </w:r>
      <w:proofErr w:type="spellEnd"/>
      <w:r>
        <w:t>»</w:t>
      </w:r>
    </w:p>
    <w:p w:rsidR="000275AC" w:rsidRDefault="000275AC" w:rsidP="000275AC">
      <w:pPr>
        <w:jc w:val="both"/>
      </w:pPr>
      <w:r>
        <w:t>1.2. Адрес эмитента, указанный в едином государственном реестре юридических лиц: 634041, Томская обл., г. Томск, проспект Кирова, д. 51 д</w:t>
      </w:r>
    </w:p>
    <w:p w:rsidR="000275AC" w:rsidRDefault="000275AC" w:rsidP="000275AC">
      <w:pPr>
        <w:jc w:val="both"/>
      </w:pPr>
      <w:r>
        <w:t>1.3. Основной государственный регистрационный номер (ОГРН) эмитента (при наличии): 1087017011113</w:t>
      </w:r>
    </w:p>
    <w:p w:rsidR="000275AC" w:rsidRDefault="000275AC" w:rsidP="000275AC">
      <w:pPr>
        <w:jc w:val="both"/>
      </w:pPr>
      <w:r>
        <w:t>1.4. Идентификационный номер налогоплательщика (ИНН) эмитента (при наличии): 7017211757</w:t>
      </w:r>
    </w:p>
    <w:p w:rsidR="000275AC" w:rsidRDefault="000275AC" w:rsidP="000275AC">
      <w:pPr>
        <w:jc w:val="both"/>
      </w:pPr>
      <w:r>
        <w:t>1.5. Уникальный код эмитента, присвоенный Банком России: 28594-N</w:t>
      </w:r>
    </w:p>
    <w:p w:rsidR="000275AC" w:rsidRDefault="000275AC" w:rsidP="000275AC">
      <w:pPr>
        <w:jc w:val="both"/>
      </w:pPr>
      <w:r>
        <w:t>1.6. Адрес страницы в сети "Интернет", используемой эмитентом для раскрытия информации: https://www.e-disclosure.ru/portal/company.aspx?id=38815</w:t>
      </w:r>
    </w:p>
    <w:p w:rsidR="000275AC" w:rsidRDefault="000275AC" w:rsidP="000275AC">
      <w:pPr>
        <w:jc w:val="both"/>
      </w:pPr>
      <w:r>
        <w:t>1.7. Дата наступления события (существенного факта), о котором составлено сообщение: 08.06.2023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2. Содержание сообщения</w:t>
      </w:r>
    </w:p>
    <w:p w:rsidR="000275AC" w:rsidRDefault="000275AC" w:rsidP="000275AC">
      <w:pPr>
        <w:jc w:val="both"/>
      </w:pPr>
      <w:r>
        <w:t>2.1. Идентификационные признаки ценных бумаг:</w:t>
      </w:r>
    </w:p>
    <w:p w:rsidR="000275AC" w:rsidRDefault="000275AC" w:rsidP="000275AC">
      <w:pPr>
        <w:jc w:val="both"/>
      </w:pPr>
      <w:r>
        <w:t>биржевые облигации бездокументарные процентные неконвертируемые с централизованным учетом прав серии БО-01, регистрационный номер выпуска 4B02-01-28594-N от 08.06.2023, международный код (номер) идентификации ценных бумаг (ISIN) на дату раскрытия не присвоен, международный код классификации финансовых инструментов (CFI) на дату раскрытия не присвоен (далее – Биржевые облигации).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2.2. Срок (порядок определения срока) погашения облигаций или опционов эмитента либо сведения о том, что срок погашения облигаций не определяется (для облигаций без срока погашения):</w:t>
      </w:r>
    </w:p>
    <w:p w:rsidR="000275AC" w:rsidRDefault="000275AC" w:rsidP="000275AC">
      <w:pPr>
        <w:jc w:val="both"/>
      </w:pPr>
      <w:r>
        <w:t xml:space="preserve">Биржевые облигации погашаются в 1 092-й (Одна тысяча девяносто второй) день </w:t>
      </w:r>
      <w:proofErr w:type="gramStart"/>
      <w:r>
        <w:t>с даты начала</w:t>
      </w:r>
      <w:proofErr w:type="gramEnd"/>
      <w:r>
        <w:t xml:space="preserve"> размещения Биржевых облигаций. Даты начала и окончания погашения Биржевых облигаций совпадают.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2.3. Номинальная стоимость ценных бумаг (для акций и облигаций):</w:t>
      </w:r>
    </w:p>
    <w:p w:rsidR="000275AC" w:rsidRDefault="000275AC" w:rsidP="000275AC">
      <w:pPr>
        <w:jc w:val="both"/>
      </w:pPr>
      <w:r>
        <w:t>1 000 (Одна тысяча) российских рублей.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2.4. Лицо, осуществившее регистрацию выпуска (дополнительного выпуска) ценных бумаг (Банк России, регистрирующая организация):</w:t>
      </w:r>
    </w:p>
    <w:p w:rsidR="000275AC" w:rsidRDefault="000275AC" w:rsidP="000275AC">
      <w:pPr>
        <w:jc w:val="both"/>
      </w:pPr>
      <w:r>
        <w:t>Публичное акционерное общество «Московская Биржа ММВБ-РТС».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 xml:space="preserve">2.5. Способ размещения ценных бумаг, а в случае размещения ценных бумаг посредством закрытой подписки - также круг потенциальных приобретателей ценных бумаг: </w:t>
      </w:r>
    </w:p>
    <w:p w:rsidR="000275AC" w:rsidRDefault="000275AC" w:rsidP="000275AC">
      <w:pPr>
        <w:jc w:val="both"/>
      </w:pPr>
      <w:r>
        <w:t xml:space="preserve">Открытая подписка. 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2.6. Сведения о факте регистрации (отсутствия регистрации) проспекта ценных бумаг одновременно с регистрацией выпуска (дополнительного выпуска) ценных бумаг:</w:t>
      </w:r>
    </w:p>
    <w:p w:rsidR="000275AC" w:rsidRDefault="000275AC" w:rsidP="000275AC">
      <w:pPr>
        <w:jc w:val="both"/>
      </w:pPr>
      <w:r>
        <w:t>Регистрация выпуска Биржевых облигаций не сопровождалась регистрацией проспекта ценных бумаг.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2.7. Сведения о факте регистрации документа, содержащего условия размещения ценных бумаг, одновременно с регистрацией выпуска (дополнительного выпуска) ценных бумаг (для акций и ценных бумаг, конвертируемых в акции):</w:t>
      </w:r>
    </w:p>
    <w:p w:rsidR="000275AC" w:rsidRDefault="000275AC" w:rsidP="000275AC">
      <w:pPr>
        <w:jc w:val="both"/>
      </w:pPr>
      <w:r>
        <w:t>Не применимо.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 xml:space="preserve">2.8. Количество размещаемых акций и ценных бумаг, конвертируемых в акции: </w:t>
      </w:r>
    </w:p>
    <w:p w:rsidR="000275AC" w:rsidRDefault="000275AC" w:rsidP="000275AC">
      <w:pPr>
        <w:jc w:val="both"/>
      </w:pPr>
      <w:r>
        <w:t>Не применимо.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 xml:space="preserve">2.9. Срок размещения акций и ценных бумаг, конвертируемых в акции, или порядок его определения: </w:t>
      </w:r>
    </w:p>
    <w:p w:rsidR="000275AC" w:rsidRDefault="000275AC" w:rsidP="000275AC">
      <w:pPr>
        <w:jc w:val="both"/>
      </w:pPr>
      <w:r>
        <w:t>Не применимо.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2.10. Цена размещения ценных бумаг, размещаемых путем подписки, или порядок ее определения либо сведения о том, что указанные цена или порядок ее определения будут установлены уполномоченным органом управления эмитента после регистрации выпуска (дополнительного выпуска) ценных бумаг, но не позднее даты начала размещения ценных бумаг:</w:t>
      </w:r>
    </w:p>
    <w:p w:rsidR="000275AC" w:rsidRDefault="000275AC" w:rsidP="000275AC">
      <w:pPr>
        <w:jc w:val="both"/>
      </w:pPr>
      <w:r>
        <w:t>Цена размещения Биржевых облигаций будет указана в документе, содержащем условия размещения ценных бумаг.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lastRenderedPageBreak/>
        <w:t>2.11. В случае предоставления акционерам (участникам) эмитента и (или) иным лицам преимущественного права приобретения размещаемых ценных бумаг - сведения об этом обстоятельстве и дата, на которую определяются (фиксируются) лица, имеющие преимущественное право приобретения размещаемых ценных бумаг:</w:t>
      </w:r>
    </w:p>
    <w:p w:rsidR="000275AC" w:rsidRDefault="000275AC" w:rsidP="000275AC">
      <w:pPr>
        <w:jc w:val="both"/>
      </w:pPr>
      <w:r>
        <w:t>Преимущественное право приобретения Биржевых облигаций не предоставляется.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2.12. В случае регистрации проспекта ценных бумаг - порядок обеспечения доступа к информации, содержащейся в проспекте ценных бумаг:</w:t>
      </w:r>
    </w:p>
    <w:p w:rsidR="000275AC" w:rsidRDefault="000275AC" w:rsidP="000275AC">
      <w:pPr>
        <w:jc w:val="both"/>
      </w:pPr>
      <w:r>
        <w:t>Регистрация выпуска Биржевых облигаций не сопровождалась регистрацией проспекта ценных бумаг.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  <w:r>
        <w:t>3. Подпись</w:t>
      </w:r>
    </w:p>
    <w:p w:rsidR="000275AC" w:rsidRDefault="000275AC" w:rsidP="000275AC">
      <w:pPr>
        <w:jc w:val="both"/>
      </w:pPr>
      <w:r>
        <w:t>3.1. заместитель генерального директора (Доверенность №21-160 от 22.12.2021)</w:t>
      </w:r>
    </w:p>
    <w:p w:rsidR="000275AC" w:rsidRDefault="000275AC" w:rsidP="000275AC">
      <w:pPr>
        <w:jc w:val="both"/>
      </w:pPr>
      <w:r>
        <w:t>Щербинина Ярослава Викторовна</w:t>
      </w:r>
    </w:p>
    <w:p w:rsidR="000275AC" w:rsidRDefault="000275AC" w:rsidP="000275AC">
      <w:pPr>
        <w:jc w:val="both"/>
      </w:pPr>
    </w:p>
    <w:p w:rsidR="000275AC" w:rsidRDefault="000275AC" w:rsidP="000275AC">
      <w:pPr>
        <w:jc w:val="both"/>
      </w:pPr>
    </w:p>
    <w:p w:rsidR="00E42256" w:rsidRDefault="000275AC" w:rsidP="000275AC">
      <w:pPr>
        <w:jc w:val="both"/>
      </w:pPr>
      <w:r>
        <w:t>3.2. Дата 09.06.2023г.</w:t>
      </w:r>
      <w:bookmarkStart w:id="0" w:name="_GoBack"/>
      <w:bookmarkEnd w:id="0"/>
    </w:p>
    <w:sectPr w:rsidR="00E4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AC"/>
    <w:rsid w:val="000275AC"/>
    <w:rsid w:val="00E4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Ю. Иванова</dc:creator>
  <cp:lastModifiedBy>Алёна Ю. Иванова</cp:lastModifiedBy>
  <cp:revision>1</cp:revision>
  <dcterms:created xsi:type="dcterms:W3CDTF">2023-06-28T08:20:00Z</dcterms:created>
  <dcterms:modified xsi:type="dcterms:W3CDTF">2023-06-28T08:20:00Z</dcterms:modified>
</cp:coreProperties>
</file>