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78" w:rsidRDefault="007B3878" w:rsidP="007B3878">
      <w:pPr>
        <w:spacing w:after="0"/>
        <w:jc w:val="both"/>
      </w:pPr>
      <w:r>
        <w:t>27.12.2023 14:07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B3878" w:rsidRDefault="007B3878" w:rsidP="007B3878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1. Общие сведения</w:t>
      </w:r>
    </w:p>
    <w:p w:rsidR="007B3878" w:rsidRDefault="007B3878" w:rsidP="007B3878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B3878" w:rsidRDefault="007B3878" w:rsidP="007B3878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B3878" w:rsidRDefault="007B3878" w:rsidP="007B3878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B3878" w:rsidRDefault="007B3878" w:rsidP="007B3878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7B3878" w:rsidRDefault="007B3878" w:rsidP="007B3878">
      <w:pPr>
        <w:spacing w:after="0"/>
        <w:jc w:val="both"/>
      </w:pPr>
      <w:r>
        <w:t>1.5. Уникальный код эмитента, присвоенный Банком России: 28594-N</w:t>
      </w:r>
    </w:p>
    <w:p w:rsidR="007B3878" w:rsidRDefault="007B3878" w:rsidP="007B3878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B3878" w:rsidRDefault="007B3878" w:rsidP="007B3878">
      <w:pPr>
        <w:spacing w:after="0"/>
        <w:jc w:val="both"/>
      </w:pPr>
      <w:r>
        <w:t>1.7. Дата наступления события (существенного факта), о котором составлено сообщение: 27.12.2023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2. Содержание сообщения</w:t>
      </w:r>
    </w:p>
    <w:p w:rsidR="007B3878" w:rsidRDefault="007B3878" w:rsidP="007B3878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7B3878" w:rsidRDefault="007B3878" w:rsidP="007B3878">
      <w:pPr>
        <w:spacing w:after="0"/>
        <w:jc w:val="both"/>
      </w:pPr>
      <w:r>
        <w:t>27.12.2023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7B3878" w:rsidRDefault="007B3878" w:rsidP="007B3878">
      <w:pPr>
        <w:spacing w:after="0"/>
        <w:jc w:val="both"/>
      </w:pPr>
      <w:r>
        <w:t>27.12.2023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7B3878" w:rsidRDefault="007B3878" w:rsidP="007B3878">
      <w:pPr>
        <w:spacing w:after="0"/>
        <w:jc w:val="both"/>
      </w:pPr>
      <w:r>
        <w:t xml:space="preserve">1. Рассмотрение отчета об исполнении Генерального Бюджета доходов и расходов, Бюджета движения денежных средств за 2023г. (факт 11 месяцев + прогноз декабря). </w:t>
      </w:r>
    </w:p>
    <w:p w:rsidR="007B3878" w:rsidRDefault="007B3878" w:rsidP="007B3878">
      <w:pPr>
        <w:spacing w:after="0"/>
        <w:jc w:val="both"/>
      </w:pPr>
      <w:r>
        <w:t xml:space="preserve">2. Представление бюджета Общества на 2024 год. </w:t>
      </w:r>
    </w:p>
    <w:p w:rsidR="007B3878" w:rsidRDefault="007B3878" w:rsidP="007B3878">
      <w:pPr>
        <w:spacing w:after="0"/>
        <w:jc w:val="both"/>
      </w:pPr>
      <w:r>
        <w:t xml:space="preserve">3. Утверждение бюджета Общества на 2024 год. </w:t>
      </w:r>
    </w:p>
    <w:p w:rsidR="007B3878" w:rsidRDefault="007B3878" w:rsidP="007B3878">
      <w:pPr>
        <w:spacing w:after="0"/>
        <w:jc w:val="both"/>
      </w:pPr>
      <w:r>
        <w:t xml:space="preserve">4. Рассмотрение отчета Службы внутреннего аудита об исполнении плана работы за 2023 год. Утверждение плана работы СВА Общества на 2024г. </w:t>
      </w:r>
    </w:p>
    <w:p w:rsidR="007B3878" w:rsidRDefault="007B3878" w:rsidP="007B3878">
      <w:pPr>
        <w:spacing w:after="0"/>
        <w:jc w:val="both"/>
      </w:pPr>
      <w:r>
        <w:t xml:space="preserve">5. Рассмотрение отчета об исполнения </w:t>
      </w:r>
      <w:proofErr w:type="gramStart"/>
      <w:r>
        <w:t>плана работы  Департамента службы безопасности Общества</w:t>
      </w:r>
      <w:proofErr w:type="gramEnd"/>
      <w:r>
        <w:t xml:space="preserve"> за 2023 года. Утверждение плана работы ДСБ Общества на 2024г. </w:t>
      </w:r>
    </w:p>
    <w:p w:rsidR="007B3878" w:rsidRDefault="007B3878" w:rsidP="007B3878">
      <w:pPr>
        <w:spacing w:after="0"/>
        <w:jc w:val="both"/>
      </w:pPr>
      <w:r>
        <w:t>6. Во исполнение п. 8.4.11. Устава Общества, одобрение/согласие подачи искового заявления в Арбитражный суд Нижегородской области.</w:t>
      </w:r>
    </w:p>
    <w:p w:rsidR="007B3878" w:rsidRDefault="007B3878" w:rsidP="007B3878">
      <w:pPr>
        <w:spacing w:after="0"/>
        <w:jc w:val="both"/>
      </w:pPr>
      <w:r>
        <w:t>7. Во исполнение п. 8.4.11. Устава Общества, одобрение/согласие подачи искового заявления в Арбитражный суд Томской области.</w:t>
      </w:r>
    </w:p>
    <w:p w:rsidR="007B3878" w:rsidRDefault="007B3878" w:rsidP="007B3878">
      <w:pPr>
        <w:spacing w:after="0"/>
        <w:jc w:val="both"/>
      </w:pPr>
      <w:r>
        <w:t>8. Во исполнение п. 8.4.7. Устава Общества, одобрение/согласие заключения договора дарения.</w:t>
      </w:r>
    </w:p>
    <w:p w:rsidR="007B3878" w:rsidRDefault="007B3878" w:rsidP="007B3878">
      <w:pPr>
        <w:spacing w:after="0"/>
        <w:jc w:val="both"/>
      </w:pPr>
      <w:r>
        <w:lastRenderedPageBreak/>
        <w:t xml:space="preserve">9. Во исполнение </w:t>
      </w:r>
      <w:proofErr w:type="spellStart"/>
      <w:r>
        <w:t>п.п</w:t>
      </w:r>
      <w:proofErr w:type="spellEnd"/>
      <w:r>
        <w:t>. 1 п. 8.4.2. Устава Общества, одобрение/согласие заключения договора купли-продажи оборудования.</w:t>
      </w:r>
    </w:p>
    <w:p w:rsidR="007B3878" w:rsidRDefault="007B3878" w:rsidP="007B3878">
      <w:pPr>
        <w:spacing w:after="0"/>
        <w:jc w:val="both"/>
      </w:pPr>
      <w:r>
        <w:t xml:space="preserve">10.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договора кредитной линии.</w:t>
      </w:r>
    </w:p>
    <w:p w:rsidR="007B3878" w:rsidRDefault="007B3878" w:rsidP="007B3878">
      <w:pPr>
        <w:spacing w:after="0"/>
        <w:jc w:val="both"/>
      </w:pPr>
      <w:r>
        <w:t xml:space="preserve">11.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договора финансового лизинга.</w:t>
      </w:r>
    </w:p>
    <w:p w:rsidR="007B3878" w:rsidRDefault="007B3878" w:rsidP="007B3878">
      <w:pPr>
        <w:spacing w:after="0"/>
        <w:jc w:val="both"/>
      </w:pPr>
      <w:r>
        <w:t xml:space="preserve">12.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договора купли-продажи.</w:t>
      </w:r>
    </w:p>
    <w:p w:rsidR="007B3878" w:rsidRDefault="007B3878" w:rsidP="007B3878">
      <w:pPr>
        <w:spacing w:after="0"/>
        <w:jc w:val="both"/>
      </w:pPr>
      <w:r>
        <w:t xml:space="preserve">13.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кредитного соглашения.</w:t>
      </w:r>
    </w:p>
    <w:p w:rsidR="007B3878" w:rsidRDefault="007B3878" w:rsidP="007B3878">
      <w:pPr>
        <w:spacing w:after="0"/>
        <w:jc w:val="both"/>
      </w:pPr>
      <w:r>
        <w:t xml:space="preserve">14. Во исполнение </w:t>
      </w:r>
      <w:proofErr w:type="spellStart"/>
      <w:r>
        <w:t>п.п</w:t>
      </w:r>
      <w:proofErr w:type="spellEnd"/>
      <w:r>
        <w:t>. 2 п. 8.4.2. Устава Общества, одобрение/согласие заключения серии сделок.</w:t>
      </w:r>
    </w:p>
    <w:p w:rsidR="007B3878" w:rsidRDefault="007B3878" w:rsidP="007B3878">
      <w:pPr>
        <w:spacing w:after="0"/>
        <w:jc w:val="both"/>
      </w:pPr>
      <w:r>
        <w:t>15. Во исполнение п. 8.4.9. Устава Общества, одобрение/согласие выплаты премии по итогам 2023 года.</w:t>
      </w:r>
    </w:p>
    <w:p w:rsidR="007B3878" w:rsidRDefault="007B3878" w:rsidP="007B3878">
      <w:pPr>
        <w:spacing w:after="0"/>
        <w:jc w:val="both"/>
      </w:pPr>
      <w:r>
        <w:t>16. Во исполнение п. 8.4.6. Устава Общества, одобрение/согласие заключения договора залога товаров в обороте.</w:t>
      </w:r>
    </w:p>
    <w:p w:rsidR="007B3878" w:rsidRDefault="007B3878" w:rsidP="007B3878">
      <w:pPr>
        <w:spacing w:after="0"/>
        <w:jc w:val="both"/>
      </w:pPr>
      <w:r>
        <w:t xml:space="preserve">17.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дополнительного соглашения к кредитному соглашению.</w:t>
      </w:r>
    </w:p>
    <w:p w:rsidR="007B3878" w:rsidRDefault="007B3878" w:rsidP="007B3878">
      <w:pPr>
        <w:spacing w:after="0"/>
        <w:jc w:val="both"/>
      </w:pPr>
      <w:r>
        <w:t xml:space="preserve">18.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дополнительного соглашения к кредитному соглашению.</w:t>
      </w:r>
    </w:p>
    <w:p w:rsidR="007B3878" w:rsidRDefault="007B3878" w:rsidP="007B3878">
      <w:pPr>
        <w:spacing w:after="0"/>
        <w:jc w:val="both"/>
      </w:pPr>
      <w:r>
        <w:t xml:space="preserve">19. Во исполнение </w:t>
      </w:r>
      <w:proofErr w:type="spellStart"/>
      <w:r>
        <w:t>п.п</w:t>
      </w:r>
      <w:proofErr w:type="spellEnd"/>
      <w:r>
        <w:t>. 2 п. 8.4.3. Устава Общества, одобрение/согласие заключения дополнительного соглашения к кредитному соглашению.</w:t>
      </w:r>
    </w:p>
    <w:p w:rsidR="007B3878" w:rsidRDefault="007B3878" w:rsidP="007B3878">
      <w:pPr>
        <w:spacing w:after="0"/>
        <w:jc w:val="both"/>
      </w:pPr>
      <w:r>
        <w:t xml:space="preserve">20. Во исполнение </w:t>
      </w:r>
      <w:proofErr w:type="spellStart"/>
      <w:r>
        <w:t>п.п</w:t>
      </w:r>
      <w:proofErr w:type="spellEnd"/>
      <w:r>
        <w:t>. 1 п. 8.4.2. Устава Общества, одобрение/согласие заключения договора на выполнение научно-исследовательских, опытно-конструкторских и технологических работ.</w:t>
      </w:r>
    </w:p>
    <w:p w:rsidR="007B3878" w:rsidRDefault="007B3878" w:rsidP="007B3878">
      <w:pPr>
        <w:spacing w:after="0"/>
        <w:jc w:val="both"/>
      </w:pPr>
      <w:r>
        <w:t xml:space="preserve">21. Во исполнение </w:t>
      </w:r>
      <w:proofErr w:type="spellStart"/>
      <w:r>
        <w:t>п.п</w:t>
      </w:r>
      <w:proofErr w:type="spellEnd"/>
      <w:r>
        <w:t>. 1 п. 8.4.2. Устава Общества, одобрение/согласие заключения договора на изготовление и поставку продукции.</w:t>
      </w:r>
    </w:p>
    <w:p w:rsidR="007B3878" w:rsidRDefault="007B3878" w:rsidP="007B3878">
      <w:pPr>
        <w:spacing w:after="0"/>
        <w:jc w:val="both"/>
      </w:pPr>
      <w:r>
        <w:t xml:space="preserve">22. Во исполнение </w:t>
      </w:r>
      <w:proofErr w:type="spellStart"/>
      <w:r>
        <w:t>п.п</w:t>
      </w:r>
      <w:proofErr w:type="spellEnd"/>
      <w:r>
        <w:t>. 2 п. 8.4.2. Устава Общества, одобрение/согласие заключения договора на поставку оборудования.</w:t>
      </w:r>
    </w:p>
    <w:p w:rsidR="007B3878" w:rsidRDefault="007B3878" w:rsidP="007B3878">
      <w:pPr>
        <w:spacing w:after="0"/>
        <w:jc w:val="both"/>
      </w:pPr>
      <w:r>
        <w:t xml:space="preserve">23. Во исполнение </w:t>
      </w:r>
      <w:proofErr w:type="spellStart"/>
      <w:r>
        <w:t>п.п</w:t>
      </w:r>
      <w:proofErr w:type="spellEnd"/>
      <w:r>
        <w:t>. 2 п. 8.4.2. Устава Общества, одобрение/согласие заключения договора на поставку продукции производственно-технического назначения.</w:t>
      </w:r>
    </w:p>
    <w:p w:rsidR="007B3878" w:rsidRDefault="007B3878" w:rsidP="007B3878">
      <w:pPr>
        <w:spacing w:after="0"/>
        <w:jc w:val="both"/>
      </w:pPr>
    </w:p>
    <w:p w:rsidR="007B3878" w:rsidRDefault="007B3878" w:rsidP="007B3878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7B3878" w:rsidRDefault="007B3878" w:rsidP="007B3878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</w:t>
      </w:r>
      <w:r>
        <w:t>ленным ценным бумагам эмитента.</w:t>
      </w:r>
      <w:bookmarkStart w:id="0" w:name="_GoBack"/>
      <w:bookmarkEnd w:id="0"/>
    </w:p>
    <w:p w:rsidR="007B3878" w:rsidRDefault="007B3878" w:rsidP="007B3878">
      <w:pPr>
        <w:spacing w:after="0"/>
        <w:jc w:val="both"/>
      </w:pPr>
      <w:r>
        <w:t>3. Подпись</w:t>
      </w:r>
    </w:p>
    <w:p w:rsidR="007B3878" w:rsidRDefault="007B3878" w:rsidP="007B3878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7B3878" w:rsidRDefault="007B3878" w:rsidP="007B3878">
      <w:pPr>
        <w:spacing w:after="0"/>
        <w:jc w:val="both"/>
      </w:pPr>
      <w:r>
        <w:t>Щербинина Ярослава Викторовна</w:t>
      </w:r>
    </w:p>
    <w:p w:rsidR="007B3878" w:rsidRDefault="007B3878" w:rsidP="007B3878">
      <w:pPr>
        <w:spacing w:after="0"/>
        <w:jc w:val="both"/>
      </w:pPr>
      <w:r>
        <w:t>3.2. Дата 27.12.2023г.</w:t>
      </w:r>
    </w:p>
    <w:p w:rsidR="007B3878" w:rsidRDefault="007B3878" w:rsidP="007B3878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3332B4" w:rsidRDefault="007B3878" w:rsidP="007B3878">
      <w:pPr>
        <w:spacing w:after="0"/>
        <w:jc w:val="both"/>
      </w:pPr>
      <w:r>
        <w:t>© 2023 Интерфакс-ЦРКИ. Все права защищены</w:t>
      </w:r>
    </w:p>
    <w:sectPr w:rsidR="0033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B3"/>
    <w:rsid w:val="003332B4"/>
    <w:rsid w:val="007B3878"/>
    <w:rsid w:val="00C6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2023-12-27T11:16:00Z</dcterms:created>
  <dcterms:modified xsi:type="dcterms:W3CDTF">2023-12-27T11:18:00Z</dcterms:modified>
</cp:coreProperties>
</file>